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memo | 12 chairs</w:t>
      </w:r>
    </w:p>
    <w:p>
      <w:pPr>
        <w:pStyle w:val="Subtitle"/>
      </w:pPr>
      <w:r>
        <w:t>SYNTHETIC QUOTATIONS — NOT REAL OFFERS</w:t>
      </w:r>
    </w:p>
    <w:p>
      <w:pPr>
        <w:pStyle w:val="Heading1"/>
      </w:pPr>
      <w:r>
        <w:t>Conditional recommendation</w:t>
      </w:r>
    </w:p>
    <w:p>
      <w:r>
        <w:t>Provisionally select Birch for 12 delivered-and-assembled chairs only if chair specifications/site scope match and its estimated 12-business-day lead time is acceptable. It remains the scope-complete option, but v2 removes the confirmed-timing advantage. For a firm deadline, obtain a written timing commitment before ordering. Do not declare an overall cheapest supplier: scopes differ.</w:t>
      </w:r>
    </w:p>
    <w:p>
      <w:pPr>
        <w:pStyle w:val="Heading1"/>
      </w:pPr>
      <w:r>
        <w:t>Documented comparison (EUR)</w:t>
      </w:r>
    </w:p>
    <w:p>
      <w:r>
        <w:t>Aster: 12 × EUR 85 = EUR 1,020 net for chairs [Aster_quote_v1.pdf, p. 1, “A1”]; delivery is EUR 90 net [Aster_quote_v1.pdf, p. 1, “A2”]. At 20% on chairs and delivery [Aster_quote_v1.pdf, p. 2, “Conditions”], the derived subtotal is EUR 1,110 net + EUR 222 tax = EUR 1,332 gross. Assembly is excluded and unpriced; full assembled gross is unknown [Aster_quote_v1.pdf, p. 2, “Conditions”].</w:t>
      </w:r>
    </w:p>
    <w:p>
      <w:r>
        <w:t>Birch v2: 3 packs of 4 = 12 chairs; EUR 380 gross per pack gives EUR 1,140 gross [Birch_quote_v2.pdf, p. 1, “B1”]. With 20% included, the derived package is EUR 950 net + EUR 190 tax [Birch_quote_v2.pdf, p. 2, “Conditions”]. Delivery remains included, with EUR 0 separate fee [Birch_quote_v2.pdf, p. 1, “B2”]; assembly covers all 12 [Birch_quote_v2.pdf, p. 2, “Conditions”]. Embedded service allocations remain unknown, not zero; this is not chairs-only pricing.</w:t>
      </w:r>
    </w:p>
    <w:p>
      <w:r>
        <w:t>Cedar: 12 × EUR 78 = EUR 936 net for chairs [Cedar_quote_v1.pdf, p. 1, “C1”]. Delivery is pending, unknown and outside C1 [Cedar_quote_v1.pdf, p. 1, “C2”]. Tax and assembly are not stated [Cedar_quote_v1.pdf, p. 2, “Conditions”]. Delivery fee, tax, gross and assembled total remain unknown. The chair-only net figure does not establish a cheapest supplier.</w:t>
      </w:r>
    </w:p>
    <w:p>
      <w:pPr>
        <w:pStyle w:val="Heading1"/>
      </w:pPr>
      <w:r>
        <w:t>Timing: confirmed versus estimated</w:t>
      </w:r>
    </w:p>
    <w:p>
      <w:r>
        <w:t>Aster: estimated 10 business days after order, not guaranteed [Aster_quote_v1.pdf, p. 2, “Conditions”]. Birch: estimated 12 business days after order; no longer confirmed [Birch_quote_v2.pdf, p. 2, “Conditions”]. Cedar: delivery date to be confirmed [Cedar_quote_v1.pdf, p. 2, “Conditions”]. No order date is supplied, so there is no calculable calendar arrival date.</w:t>
      </w:r>
    </w:p>
    <w:p>
      <w:pPr>
        <w:pStyle w:val="Heading1"/>
      </w:pPr>
      <w:r>
        <w:t>Questions before commitment</w:t>
      </w:r>
    </w:p>
    <w:p>
      <w:pPr>
        <w:pStyle w:val="ListBullet"/>
      </w:pPr>
      <w:r>
        <w:t>Birch: confirm specification, site delivery/assembly coverage and no extra fees; request a committed lead time or arrival date. v2 timing is estimated, not guaranteed.</w:t>
      </w:r>
    </w:p>
    <w:p>
      <w:pPr>
        <w:pStyle w:val="ListBullet"/>
      </w:pPr>
      <w:r>
        <w:t>Aster: obtain assembly net price and tax, align delivery scope, and secure committed timing before re-comparison.</w:t>
      </w:r>
    </w:p>
    <w:p>
      <w:pPr>
        <w:pStyle w:val="ListBullet"/>
      </w:pPr>
      <w:r>
        <w:t>Cedar: obtain delivery fee, tax basis/rate per item, assembly scope/price/tax and committed timing in a revised complete offer.</w:t>
      </w:r>
    </w:p>
    <w:p>
      <w:pPr>
        <w:pStyle w:val="ListBullet"/>
      </w:pPr>
      <w:r>
        <w:t>All: confirm availability, quote validity, payment, warranty/returns and access requirements; these are absent from the PDFs.</w:t>
      </w:r>
    </w:p>
    <w:p>
      <w:r>
        <w:t>Basis: direct selectable-text extraction from active Aster v1, Birch v2 and Cedar v1; no OCR. Original terms and editable formulas are retained. Quantity edits are scenarios, not revised supplier commitments.</w:t>
      </w:r>
    </w:p>
    <w:p>
      <w:pPr>
        <w:pStyle w:val="Heading1"/>
      </w:pPr>
      <w:r>
        <w:t>Revision change log | v1 is superseded history only</w:t>
      </w:r>
    </w:p>
    <w:p>
      <w:r>
        <w:t>Active Birch quote date: 2026-11-06 [Birch_quote_v2.pdf, p. 1, header “Document: Birch_quote_v2 | Date: 2026-11-06” (no row ID)]. v2 explicitly supersedes v1; no other supplier changes [Birch_quote_v2.pdf, p. 2, “Conditions”].</w:t>
      </w:r>
    </w:p>
    <w:p>
      <w:r>
        <w:t>History → current: EUR 360 → EUR 380 gross/pack and EUR 1,080 → EUR 1,140 gross/order [SUPERSEDED Birch_quote_v1.pdf, p. 1, “B1”; ACTIVE Birch_quote_v2.pdf, p. 1, “B1”]. At the included 20%, derived net/tax change from EUR 900/180 to EUR 950/190 [SUPERSEDED Birch_quote_v1.pdf, p. 2, “Conditions”; ACTIVE Birch_quote_v2.pdf, p. 2, “Conditions”].</w:t>
      </w:r>
    </w:p>
    <w:p>
      <w:r>
        <w:t>History → current timing: 7 business days confirmed → estimated 12 business days, no longer confirmed [SUPERSEDED Birch_quote_v1.pdf, p. 2, “Conditions”; ACTIVE Birch_quote_v2.pdf, p. 2, “Conditions”]. Delivery remains included [Birch_quote_v2.pdf, p. 1, “B2”] and assembly remains included for 12 chairs [Birch_quote_v2.pdf, p. 2, “Conditions”]; recommendation now depends on acceptance of estimated timing. No guarantee is inferred. Aster/Cedar facts and references are unchanged.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Synthetic decision | 12-chair order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