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 memo | 12 chairs</w:t>
      </w:r>
    </w:p>
    <w:p>
      <w:pPr>
        <w:pStyle w:val="Subtitle"/>
      </w:pPr>
      <w:r>
        <w:t>SYNTHETIC QUOTATIONS — NOT REAL OFFERS</w:t>
      </w:r>
    </w:p>
    <w:p>
      <w:pPr>
        <w:pStyle w:val="Heading1"/>
      </w:pPr>
      <w:r>
        <w:t>Conditional recommendation</w:t>
      </w:r>
    </w:p>
    <w:p>
      <w:r>
        <w:t>Provisionally select Birch if all 12 chairs need delivery and assembly, subject to equivalent chair specification and site/service requirements. Its documented scope and confirmed relative lead time make it the clearest procurement option. Do not declare an overall cheapest supplier: the offers have different scopes.</w:t>
      </w:r>
    </w:p>
    <w:p>
      <w:pPr>
        <w:pStyle w:val="Heading1"/>
      </w:pPr>
      <w:r>
        <w:t>Documented comparison (EUR)</w:t>
      </w:r>
    </w:p>
    <w:p>
      <w:r>
        <w:t>Aster: 12 × EUR 85 = EUR 1,020 net for chairs [Aster_quote_v1.pdf, p. 1, “A1”]; delivery is EUR 90 net [Aster_quote_v1.pdf, p. 1, “A2”]. At 20% on chairs and delivery [Aster_quote_v1.pdf, p. 2, “Conditions”], the derived subtotal is EUR 1,110 net + EUR 222 tax = EUR 1,332 gross. Assembly is excluded and unpriced; full assembled gross is unknown [Aster_quote_v1.pdf, p. 2, “Conditions”].</w:t>
      </w:r>
    </w:p>
    <w:p>
      <w:r>
        <w:t>Birch: 3 packs of 4 = 12 chairs; EUR 360 gross per pack gives EUR 1,080 gross [Birch_quote_v1.pdf, p. 1, “B1”]. The included 20% tax gives EUR 900 net + EUR 180 tax by derivation [Birch_quote_v1.pdf, p. 2, “Conditions”]. Delivery is included, with EUR 0 separate fee [Birch_quote_v1.pdf, p. 1, “B2”]; assembly covers all 12 chairs [Birch_quote_v1.pdf, p. 2, “Conditions”]. Embedded service allocations are unknown, not zero. The net figure is for the package, not chairs alone.</w:t>
      </w:r>
    </w:p>
    <w:p>
      <w:r>
        <w:t>Cedar: 12 × EUR 78 = EUR 936 net for chairs [Cedar_quote_v1.pdf, p. 1, “C1”]. Delivery is pending, unknown and outside C1 [Cedar_quote_v1.pdf, p. 1, “C2”]. Tax and assembly are not stated [Cedar_quote_v1.pdf, p. 2, “Conditions”]. Delivery fee, tax, gross and assembled total remain unknown. The chair-only net figure does not establish a cheapest supplier.</w:t>
      </w:r>
    </w:p>
    <w:p>
      <w:pPr>
        <w:pStyle w:val="Heading1"/>
      </w:pPr>
      <w:r>
        <w:t>Timing: confirmed versus estimated</w:t>
      </w:r>
    </w:p>
    <w:p>
      <w:r>
        <w:t>Aster: estimated 10 business days after order, not guaranteed [Aster_quote_v1.pdf, p. 2, “Conditions”]. Birch: 7 business days after order, confirmed in this quote [Birch_quote_v1.pdf, p. 2, “Conditions”]. Cedar: delivery date to be confirmed [Cedar_quote_v1.pdf, p. 2, “Conditions”]. No order date is supplied, so there is no calculable calendar arrival date.</w:t>
      </w:r>
    </w:p>
    <w:p>
      <w:pPr>
        <w:pStyle w:val="Heading1"/>
      </w:pPr>
      <w:r>
        <w:t>Questions before commitment</w:t>
      </w:r>
    </w:p>
    <w:p>
      <w:pPr>
        <w:pStyle w:val="ListBullet"/>
      </w:pPr>
      <w:r>
        <w:t>Birch: confirm equivalent specification, site delivery/assembly coverage, no extra site fees, order acceptance and remedy for a missed lead time.</w:t>
      </w:r>
    </w:p>
    <w:p>
      <w:pPr>
        <w:pStyle w:val="ListBullet"/>
      </w:pPr>
      <w:r>
        <w:t>Aster: obtain assembly net price and tax, align delivery scope, and secure committed timing before re-comparison.</w:t>
      </w:r>
    </w:p>
    <w:p>
      <w:pPr>
        <w:pStyle w:val="ListBullet"/>
      </w:pPr>
      <w:r>
        <w:t>Cedar: obtain delivery fee, tax basis/rate per item, assembly scope/price/tax and committed timing in a revised complete offer.</w:t>
      </w:r>
    </w:p>
    <w:p>
      <w:pPr>
        <w:pStyle w:val="ListBullet"/>
      </w:pPr>
      <w:r>
        <w:t>All: confirm availability, quote validity, payment, warranty/returns and access requirements; these are absent from the PDFs.</w:t>
      </w:r>
    </w:p>
    <w:p>
      <w:r>
        <w:t>Basis: direct selectable-text extraction from the six actual PDF pages; no OCR. The workbook preserves original terms and editable, guarded formulas. Quantity changes are scenarios, not revised supplier commitments.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Synthetic decision | 12-chair order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